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80"/>
        </w:tabs>
        <w:adjustRightInd w:val="0"/>
        <w:snapToGrid w:val="0"/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附件2</w:t>
      </w:r>
    </w:p>
    <w:p>
      <w:pPr>
        <w:tabs>
          <w:tab w:val="left" w:pos="1680"/>
        </w:tabs>
        <w:adjustRightInd w:val="0"/>
        <w:snapToGrid w:val="0"/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bookmarkStart w:id="0" w:name="_GoBack"/>
      <w:r>
        <w:rPr>
          <w:rFonts w:eastAsia="方正小标宋_GBK"/>
          <w:color w:val="000000"/>
          <w:sz w:val="44"/>
          <w:szCs w:val="44"/>
        </w:rPr>
        <w:t>大赛就业赛道方案</w:t>
      </w:r>
    </w:p>
    <w:bookmarkEnd w:id="0"/>
    <w:p>
      <w:pPr>
        <w:spacing w:line="560" w:lineRule="exact"/>
        <w:rPr>
          <w:rFonts w:eastAsia="黑体"/>
          <w:color w:val="000000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一、比赛内容</w:t>
      </w:r>
    </w:p>
    <w:p>
      <w:pPr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考察学生的求职实战能力、个人发展路径与经济社会发展需要的适应度，就业能力与职业目标和岗位的契合度。</w:t>
      </w:r>
    </w:p>
    <w:p>
      <w:pPr>
        <w:spacing w:line="59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二、参赛组别和对象</w:t>
      </w:r>
    </w:p>
    <w:p>
      <w:pPr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（一）就业赛道设高教组和职教组，每组均设 5 个分赛道。其中，针对企业职能岗位，设产品研发、生产服务、市场营销、通用职能分赛道（按相近行业分小组）；针对公共服务岗位，设公共服务分赛道。</w:t>
      </w:r>
    </w:p>
    <w:p>
      <w:pPr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（二）就业赛道参赛对象为普通高等学校全日制高年 级在校学生。高教组面向普通本科三、四年级（部分专业五年级）学生和全体研究生，职教组面向职教本科三、四年级学生和高职（专科）二、三年级学生。</w:t>
      </w:r>
    </w:p>
    <w:p>
      <w:pPr>
        <w:spacing w:line="59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三、参赛材料要求</w:t>
      </w:r>
    </w:p>
    <w:p>
      <w:pPr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参赛选手在大赛平台（网址：zgs.chsi.com.cn）提交以下参赛材料：</w:t>
      </w:r>
    </w:p>
    <w:p>
      <w:pPr>
        <w:spacing w:line="590" w:lineRule="exact"/>
        <w:ind w:firstLine="640" w:firstLineChars="200"/>
        <w:rPr>
          <w:rFonts w:eastAsia="黑体"/>
          <w:color w:val="000000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 求职简历（PDF 格式）。</w:t>
      </w:r>
    </w:p>
    <w:p>
      <w:pPr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 就业能力展示（PPT 格式，不超过 50MB；可加入视频）。</w:t>
      </w:r>
    </w:p>
    <w:p>
      <w:pPr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3. 辅助证明材料，包括实践、实习、获奖等证明材料（采用PDF 格式，不超过 50MB），整合为单个文件。</w:t>
      </w:r>
    </w:p>
    <w:p>
      <w:pPr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4. 参加省级复赛的选手，需在江苏24365大学生就业服务平台（网址：https://employment.jiangsu.smartedu.cn/）提交求职简历、就业能力展示、辅助证明材料。</w:t>
      </w:r>
    </w:p>
    <w:p>
      <w:pPr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5. 复赛参赛材料上传截止时间：2023年11月15日。</w:t>
      </w:r>
    </w:p>
    <w:p>
      <w:pPr>
        <w:spacing w:line="59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四、比赛环节</w:t>
      </w:r>
    </w:p>
    <w:p>
      <w:pPr>
        <w:snapToGrid w:val="0"/>
        <w:spacing w:line="59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 省级复赛：参照全国总决赛评审规则，评委对参赛材料进行网络评审，确定入围省级决赛参赛选手。</w:t>
      </w:r>
    </w:p>
    <w:p>
      <w:pPr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 省级决赛：具体事宜另行通知。</w:t>
      </w:r>
    </w:p>
    <w:p>
      <w:pPr>
        <w:spacing w:line="59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五、复赛评审标准</w:t>
      </w:r>
    </w:p>
    <w:tbl>
      <w:tblPr>
        <w:tblStyle w:val="4"/>
        <w:tblW w:w="900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1884"/>
        <w:gridCol w:w="2911"/>
        <w:gridCol w:w="713"/>
        <w:gridCol w:w="706"/>
        <w:gridCol w:w="708"/>
        <w:gridCol w:w="708"/>
        <w:gridCol w:w="7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3" w:line="339" w:lineRule="exact"/>
              <w:ind w:left="838" w:right="831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2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0"/>
              <w:rPr>
                <w:rFonts w:eastAsia="黑体"/>
                <w:color w:val="000000"/>
              </w:rPr>
            </w:pPr>
          </w:p>
          <w:p>
            <w:pPr>
              <w:pStyle w:val="7"/>
              <w:kinsoku w:val="0"/>
              <w:overflowPunct w:val="0"/>
              <w:ind w:left="1282" w:right="1276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35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3" w:line="339" w:lineRule="exact"/>
              <w:ind w:left="1074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分赛道分值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"/>
              <w:ind w:left="194"/>
              <w:rPr>
                <w:rFonts w:eastAsia="黑体"/>
                <w:color w:val="000000"/>
                <w:w w:val="95"/>
              </w:rPr>
            </w:pPr>
            <w:r>
              <w:rPr>
                <w:rFonts w:eastAsia="黑体"/>
                <w:color w:val="000000"/>
                <w:w w:val="95"/>
              </w:rPr>
              <w:t>一级</w:t>
            </w:r>
          </w:p>
          <w:p>
            <w:pPr>
              <w:pStyle w:val="7"/>
              <w:kinsoku w:val="0"/>
              <w:overflowPunct w:val="0"/>
              <w:spacing w:before="4" w:line="289" w:lineRule="exact"/>
              <w:ind w:left="194"/>
              <w:rPr>
                <w:rFonts w:eastAsia="黑体"/>
                <w:color w:val="000000"/>
                <w:w w:val="95"/>
              </w:rPr>
            </w:pPr>
            <w:r>
              <w:rPr>
                <w:rFonts w:eastAsia="黑体"/>
                <w:color w:val="000000"/>
                <w:w w:val="95"/>
              </w:rPr>
              <w:t>指标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58"/>
              <w:ind w:left="126" w:right="117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二级指标</w:t>
            </w:r>
          </w:p>
        </w:tc>
        <w:tc>
          <w:tcPr>
            <w:tcW w:w="29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"/>
              <w:ind w:left="116"/>
              <w:rPr>
                <w:rFonts w:eastAsia="黑体"/>
                <w:color w:val="000000"/>
                <w:w w:val="95"/>
              </w:rPr>
            </w:pPr>
            <w:r>
              <w:rPr>
                <w:rFonts w:eastAsia="黑体"/>
                <w:color w:val="000000"/>
                <w:w w:val="95"/>
              </w:rPr>
              <w:t>产品</w:t>
            </w:r>
          </w:p>
          <w:p>
            <w:pPr>
              <w:pStyle w:val="7"/>
              <w:kinsoku w:val="0"/>
              <w:overflowPunct w:val="0"/>
              <w:spacing w:before="4" w:line="289" w:lineRule="exact"/>
              <w:ind w:left="116"/>
              <w:rPr>
                <w:rFonts w:eastAsia="黑体"/>
                <w:color w:val="000000"/>
                <w:w w:val="95"/>
              </w:rPr>
            </w:pPr>
            <w:r>
              <w:rPr>
                <w:rFonts w:eastAsia="黑体"/>
                <w:color w:val="000000"/>
                <w:w w:val="95"/>
              </w:rPr>
              <w:t>研发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"/>
              <w:ind w:left="111"/>
              <w:rPr>
                <w:rFonts w:eastAsia="黑体"/>
                <w:color w:val="000000"/>
                <w:w w:val="95"/>
              </w:rPr>
            </w:pPr>
            <w:r>
              <w:rPr>
                <w:rFonts w:eastAsia="黑体"/>
                <w:color w:val="000000"/>
                <w:w w:val="95"/>
              </w:rPr>
              <w:t>生产</w:t>
            </w:r>
          </w:p>
          <w:p>
            <w:pPr>
              <w:pStyle w:val="7"/>
              <w:kinsoku w:val="0"/>
              <w:overflowPunct w:val="0"/>
              <w:spacing w:before="4" w:line="289" w:lineRule="exact"/>
              <w:ind w:left="111"/>
              <w:rPr>
                <w:rFonts w:eastAsia="黑体"/>
                <w:color w:val="000000"/>
                <w:w w:val="95"/>
              </w:rPr>
            </w:pPr>
            <w:r>
              <w:rPr>
                <w:rFonts w:eastAsia="黑体"/>
                <w:color w:val="000000"/>
                <w:w w:val="95"/>
              </w:rPr>
              <w:t>服务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"/>
              <w:ind w:left="113"/>
              <w:rPr>
                <w:rFonts w:eastAsia="黑体"/>
                <w:color w:val="000000"/>
                <w:w w:val="95"/>
              </w:rPr>
            </w:pPr>
            <w:r>
              <w:rPr>
                <w:rFonts w:eastAsia="黑体"/>
                <w:color w:val="000000"/>
                <w:w w:val="95"/>
              </w:rPr>
              <w:t>市场</w:t>
            </w:r>
          </w:p>
          <w:p>
            <w:pPr>
              <w:pStyle w:val="7"/>
              <w:kinsoku w:val="0"/>
              <w:overflowPunct w:val="0"/>
              <w:spacing w:before="4" w:line="289" w:lineRule="exact"/>
              <w:ind w:left="113"/>
              <w:rPr>
                <w:rFonts w:eastAsia="黑体"/>
                <w:color w:val="000000"/>
                <w:w w:val="95"/>
              </w:rPr>
            </w:pPr>
            <w:r>
              <w:rPr>
                <w:rFonts w:eastAsia="黑体"/>
                <w:color w:val="000000"/>
                <w:w w:val="95"/>
              </w:rPr>
              <w:t>营销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"/>
              <w:ind w:left="113"/>
              <w:rPr>
                <w:rFonts w:eastAsia="黑体"/>
                <w:color w:val="000000"/>
                <w:w w:val="95"/>
              </w:rPr>
            </w:pPr>
            <w:r>
              <w:rPr>
                <w:rFonts w:eastAsia="黑体"/>
                <w:color w:val="000000"/>
                <w:w w:val="95"/>
              </w:rPr>
              <w:t>通用</w:t>
            </w:r>
          </w:p>
          <w:p>
            <w:pPr>
              <w:pStyle w:val="7"/>
              <w:kinsoku w:val="0"/>
              <w:overflowPunct w:val="0"/>
              <w:spacing w:before="4" w:line="289" w:lineRule="exact"/>
              <w:ind w:left="113"/>
              <w:rPr>
                <w:rFonts w:eastAsia="黑体"/>
                <w:color w:val="000000"/>
                <w:w w:val="95"/>
              </w:rPr>
            </w:pPr>
            <w:r>
              <w:rPr>
                <w:rFonts w:eastAsia="黑体"/>
                <w:color w:val="000000"/>
                <w:w w:val="95"/>
              </w:rPr>
              <w:t>职能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"/>
              <w:ind w:left="118"/>
              <w:rPr>
                <w:rFonts w:eastAsia="黑体"/>
                <w:color w:val="000000"/>
                <w:w w:val="95"/>
              </w:rPr>
            </w:pPr>
            <w:r>
              <w:rPr>
                <w:rFonts w:eastAsia="黑体"/>
                <w:color w:val="000000"/>
                <w:w w:val="95"/>
              </w:rPr>
              <w:t>公共</w:t>
            </w:r>
          </w:p>
          <w:p>
            <w:pPr>
              <w:pStyle w:val="7"/>
              <w:kinsoku w:val="0"/>
              <w:overflowPunct w:val="0"/>
              <w:spacing w:before="4" w:line="289" w:lineRule="exact"/>
              <w:ind w:left="118"/>
              <w:rPr>
                <w:rFonts w:eastAsia="黑体"/>
                <w:color w:val="000000"/>
                <w:w w:val="95"/>
              </w:rPr>
            </w:pPr>
            <w:r>
              <w:rPr>
                <w:rFonts w:eastAsia="黑体"/>
                <w:color w:val="000000"/>
                <w:w w:val="95"/>
              </w:rPr>
              <w:t>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6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before="10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244" w:lineRule="auto"/>
              <w:ind w:left="153" w:right="141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通用素质</w:t>
            </w:r>
          </w:p>
          <w:p>
            <w:pPr>
              <w:pStyle w:val="7"/>
              <w:kinsoku w:val="0"/>
              <w:overflowPunct w:val="0"/>
              <w:spacing w:line="244" w:lineRule="auto"/>
              <w:ind w:left="153" w:right="141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244" w:lineRule="auto"/>
              <w:ind w:left="153" w:right="141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244" w:lineRule="auto"/>
              <w:ind w:left="153" w:right="141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4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ind w:left="127" w:right="117"/>
              <w:jc w:val="center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职业精神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"/>
              <w:ind w:left="107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具有家国情怀，有爱岗敬业、忠诚守信、奋斗奉献精神等</w:t>
            </w:r>
          </w:p>
        </w:tc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before="3"/>
              <w:rPr>
                <w:rFonts w:eastAsia="黑体"/>
                <w:color w:val="000000"/>
                <w:sz w:val="41"/>
                <w:szCs w:val="41"/>
              </w:rPr>
            </w:pPr>
          </w:p>
          <w:p>
            <w:pPr>
              <w:pStyle w:val="7"/>
              <w:kinsoku w:val="0"/>
              <w:overflowPunct w:val="0"/>
              <w:ind w:left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  <w:p>
            <w:pPr>
              <w:pStyle w:val="2"/>
              <w:kinsoku w:val="0"/>
              <w:overflowPunct w:val="0"/>
              <w:spacing w:before="7"/>
              <w:rPr>
                <w:rFonts w:asci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cs="Times New Roman"/>
                <w:color w:val="000000"/>
                <w:sz w:val="2"/>
                <w:szCs w:val="2"/>
              </w:rPr>
              <w:t>2020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before="3"/>
              <w:rPr>
                <w:rFonts w:eastAsia="黑体"/>
                <w:color w:val="000000"/>
                <w:sz w:val="41"/>
                <w:szCs w:val="41"/>
              </w:rPr>
            </w:pPr>
          </w:p>
          <w:p>
            <w:pPr>
              <w:pStyle w:val="7"/>
              <w:kinsoku w:val="0"/>
              <w:overflowPunct w:val="0"/>
              <w:ind w:left="2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before="3"/>
              <w:rPr>
                <w:rFonts w:eastAsia="黑体"/>
                <w:color w:val="000000"/>
                <w:sz w:val="41"/>
                <w:szCs w:val="41"/>
              </w:rPr>
            </w:pPr>
          </w:p>
          <w:p>
            <w:pPr>
              <w:pStyle w:val="7"/>
              <w:kinsoku w:val="0"/>
              <w:overflowPunct w:val="0"/>
              <w:ind w:left="2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before="3"/>
              <w:rPr>
                <w:rFonts w:eastAsia="黑体"/>
                <w:color w:val="000000"/>
                <w:sz w:val="41"/>
                <w:szCs w:val="41"/>
              </w:rPr>
            </w:pPr>
          </w:p>
          <w:p>
            <w:pPr>
              <w:pStyle w:val="7"/>
              <w:kinsoku w:val="0"/>
              <w:overflowPunct w:val="0"/>
              <w:ind w:left="2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before="3"/>
              <w:rPr>
                <w:rFonts w:eastAsia="黑体"/>
                <w:color w:val="000000"/>
                <w:sz w:val="41"/>
                <w:szCs w:val="41"/>
              </w:rPr>
            </w:pPr>
          </w:p>
          <w:p>
            <w:pPr>
              <w:pStyle w:val="7"/>
              <w:kinsoku w:val="0"/>
              <w:overflowPunct w:val="0"/>
              <w:ind w:left="2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"/>
              <w:rPr>
                <w:rFonts w:ascii="Times New Roman" w:cs="Times New Roman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90"/>
              <w:ind w:left="127" w:right="117"/>
              <w:jc w:val="center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心理素质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7" w:line="360" w:lineRule="atLeast"/>
              <w:ind w:left="107" w:right="94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具备目标岗位所需的意志力、抗压能力等</w:t>
            </w:r>
          </w:p>
        </w:tc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"/>
              <w:rPr>
                <w:rFonts w:ascii="Times New Roman" w:cs="Times New Roman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ind w:left="127" w:right="117"/>
              <w:jc w:val="center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思维能力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"/>
              <w:ind w:left="107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具备目标岗位所需的逻辑推理、系统分析和信息处理能力等</w:t>
            </w:r>
          </w:p>
        </w:tc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"/>
              <w:rPr>
                <w:rFonts w:ascii="Times New Roman" w:cs="Times New Roman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30"/>
              <w:ind w:left="127" w:right="117"/>
              <w:jc w:val="center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沟通能力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0" w:line="242" w:lineRule="auto"/>
              <w:ind w:left="107" w:right="94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具备目标岗位所需的语言表达、交流协调能力等</w:t>
            </w:r>
          </w:p>
        </w:tc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"/>
              <w:rPr>
                <w:rFonts w:ascii="Times New Roman" w:cs="Times New Roman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6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242" w:lineRule="auto"/>
              <w:ind w:left="285" w:right="134" w:hanging="140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执行和领导能力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" w:line="242" w:lineRule="auto"/>
              <w:ind w:left="107" w:right="94"/>
              <w:jc w:val="both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能够针对工作任务制定计划并实施，具备目标岗位所需的团队领导、协作、激励和执行能力等</w:t>
            </w:r>
          </w:p>
        </w:tc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  <w:jc w:val="center"/>
        </w:trPr>
        <w:tc>
          <w:tcPr>
            <w:tcW w:w="6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"/>
              <w:rPr>
                <w:rFonts w:ascii="Times New Roman" w:cs="Times New Roman"/>
                <w:color w:val="000000"/>
                <w:kern w:val="2"/>
                <w:sz w:val="30"/>
                <w:szCs w:val="30"/>
              </w:rPr>
            </w:pPr>
          </w:p>
          <w:p>
            <w:pPr>
              <w:pStyle w:val="2"/>
              <w:kinsoku w:val="0"/>
              <w:overflowPunct w:val="0"/>
              <w:spacing w:before="7"/>
              <w:rPr>
                <w:rFonts w:ascii="Times New Roman" w:cs="Times New Roman"/>
                <w:color w:val="000000"/>
                <w:kern w:val="2"/>
                <w:sz w:val="30"/>
                <w:szCs w:val="30"/>
              </w:rPr>
            </w:pPr>
          </w:p>
          <w:p>
            <w:pPr>
              <w:pStyle w:val="2"/>
              <w:kinsoku w:val="0"/>
              <w:overflowPunct w:val="0"/>
              <w:spacing w:before="7"/>
              <w:rPr>
                <w:rFonts w:ascii="Times New Roman" w:cs="Times New Roman"/>
                <w:color w:val="000000"/>
                <w:kern w:val="2"/>
                <w:sz w:val="30"/>
                <w:szCs w:val="30"/>
              </w:rPr>
            </w:pPr>
          </w:p>
          <w:p>
            <w:pPr>
              <w:pStyle w:val="2"/>
              <w:kinsoku w:val="0"/>
              <w:overflowPunct w:val="0"/>
              <w:spacing w:before="7"/>
              <w:rPr>
                <w:rFonts w:ascii="Times New Roman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ascii="Times New Roman" w:cs="Times New Roman"/>
                <w:color w:val="000000"/>
                <w:kern w:val="2"/>
                <w:sz w:val="30"/>
                <w:szCs w:val="30"/>
              </w:rPr>
              <w:t>岗位能力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6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before="6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岗位认知程度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" w:line="242" w:lineRule="auto"/>
              <w:ind w:right="94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全面了解目标行业现状、发展趋势和就业需求，准确把握目标岗位的任职要求、工作流程、工作内容等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ind w:left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  <w:p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ind w:left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  <w:p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ind w:left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  <w:p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ind w:left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  <w:p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ind w:left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  <w:p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"/>
              <w:rPr>
                <w:rFonts w:ascii="Times New Roman" w:cs="Times New Roman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6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before="6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岗位胜任能力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" w:line="242" w:lineRule="auto"/>
              <w:ind w:left="107" w:right="94"/>
              <w:jc w:val="both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具备目标岗位所需的专业能力、实习实践经历、解决实际工作问题的能力等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ind w:left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  <w:p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ind w:left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  <w:p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ind w:left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  <w:p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ind w:left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  <w:p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ind w:left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  <w:p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"/>
              <w:rPr>
                <w:rFonts w:ascii="Times New Roman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ascii="Times New Roman" w:cs="Times New Roman"/>
                <w:color w:val="000000"/>
                <w:kern w:val="2"/>
                <w:sz w:val="30"/>
                <w:szCs w:val="30"/>
              </w:rPr>
              <w:t>发展潜力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6"/>
              <w:jc w:val="center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before="6"/>
              <w:jc w:val="center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—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" w:line="242" w:lineRule="auto"/>
              <w:ind w:left="107" w:right="94"/>
              <w:jc w:val="both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职业目标契合行业发展前景和人才需求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ind w:left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  <w:p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ind w:left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  <w:p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ind w:left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  <w:p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ind w:left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  <w:p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ind w:left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  <w:p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</w:tr>
    </w:tbl>
    <w:p>
      <w:pPr>
        <w:spacing w:line="560" w:lineRule="exact"/>
        <w:rPr>
          <w:rFonts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098" w:right="1531" w:bottom="1701" w:left="1531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420" w:leftChars="200" w:right="420" w:rightChars="200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MmE0NjkyOGNmZGMzZWM1MDFmMDUzMGQ3NjZiYzEifQ=="/>
  </w:docVars>
  <w:rsids>
    <w:rsidRoot w:val="56F90E25"/>
    <w:rsid w:val="56F9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仿宋_GB2312" w:hAnsi="Times New Roman" w:eastAsia="仿宋_GB2312" w:cs="仿宋_GB2312"/>
      <w:kern w:val="0"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uiPriority w:val="0"/>
  </w:style>
  <w:style w:type="paragraph" w:customStyle="1" w:styleId="7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等线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2023-10-16T08:41:00Z</dcterms:created>
  <dc:creator>邱佩钰</dc:creator>
  <cp:lastModifiedBy>邱佩钰</cp:lastModifiedBy>
  <dcterms:modified xsi:type="dcterms:W3CDTF">2023-10-16T08:41:40Z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29BC782EADAF4817A39DA42988E32941_11</vt:lpwstr>
  </property>
</Properties>
</file>