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F03" w:rsidRDefault="00984F03" w:rsidP="00984F03">
      <w:pPr>
        <w:spacing w:beforeLines="50" w:afterLines="50" w:line="360" w:lineRule="exact"/>
        <w:ind w:left="456" w:rightChars="50" w:right="110" w:hangingChars="152" w:hanging="456"/>
        <w:rPr>
          <w:rFonts w:ascii="Times New Roman" w:eastAsia="黑体" w:hAnsi="Times New Roman"/>
          <w:bCs/>
          <w:color w:val="000000"/>
          <w:sz w:val="30"/>
          <w:szCs w:val="30"/>
        </w:rPr>
      </w:pPr>
      <w:r>
        <w:rPr>
          <w:rFonts w:ascii="黑体" w:eastAsia="黑体" w:hAnsi="黑体" w:cs="黑体" w:hint="eastAsia"/>
          <w:bCs/>
          <w:color w:val="000000"/>
          <w:sz w:val="30"/>
          <w:szCs w:val="30"/>
        </w:rPr>
        <w:t>附件</w:t>
      </w:r>
      <w:r>
        <w:rPr>
          <w:rFonts w:ascii="Times New Roman" w:eastAsia="黑体" w:hAnsi="Times New Roman" w:cs="Times New Roman"/>
          <w:bCs/>
          <w:color w:val="000000"/>
          <w:sz w:val="30"/>
          <w:szCs w:val="30"/>
        </w:rPr>
        <w:t>2</w:t>
      </w:r>
    </w:p>
    <w:p w:rsidR="00984F03" w:rsidRDefault="00984F03" w:rsidP="00984F03">
      <w:pPr>
        <w:spacing w:beforeLines="50" w:afterLines="50" w:line="360" w:lineRule="exact"/>
        <w:ind w:rightChars="50" w:right="110"/>
        <w:jc w:val="center"/>
        <w:rPr>
          <w:rFonts w:ascii="方正小标宋简体" w:eastAsia="方正小标宋简体" w:hAnsi="方正小标宋简体" w:cs="方正小标宋简体"/>
          <w:bCs/>
          <w:color w:val="000000"/>
          <w:sz w:val="30"/>
          <w:szCs w:val="30"/>
        </w:rPr>
      </w:pPr>
      <w:r>
        <w:rPr>
          <w:rFonts w:ascii="方正小标宋简体" w:eastAsia="方正小标宋简体" w:hAnsi="方正小标宋简体" w:cs="方正小标宋简体" w:hint="eastAsia"/>
          <w:bCs/>
          <w:color w:val="000000"/>
          <w:sz w:val="30"/>
          <w:szCs w:val="30"/>
        </w:rPr>
        <w:t>2023下半年大学生预备党员网络培训选修课程列表</w:t>
      </w:r>
    </w:p>
    <w:tbl>
      <w:tblPr>
        <w:tblW w:w="5282" w:type="pct"/>
        <w:tblLook w:val="04A0"/>
      </w:tblPr>
      <w:tblGrid>
        <w:gridCol w:w="3858"/>
        <w:gridCol w:w="1007"/>
        <w:gridCol w:w="4138"/>
      </w:tblGrid>
      <w:tr w:rsidR="00984F03" w:rsidTr="00984F03">
        <w:trPr>
          <w:trHeight w:val="600"/>
        </w:trPr>
        <w:tc>
          <w:tcPr>
            <w:tcW w:w="2143" w:type="pct"/>
            <w:tcBorders>
              <w:top w:val="single" w:sz="4" w:space="0" w:color="000000"/>
              <w:left w:val="single" w:sz="4" w:space="0" w:color="000000"/>
              <w:bottom w:val="single" w:sz="4" w:space="0" w:color="auto"/>
              <w:right w:val="single" w:sz="4" w:space="0" w:color="000000"/>
            </w:tcBorders>
            <w:vAlign w:val="center"/>
            <w:hideMark/>
          </w:tcPr>
          <w:p w:rsidR="00984F03" w:rsidRDefault="00984F03">
            <w:pPr>
              <w:jc w:val="center"/>
              <w:textAlignment w:val="center"/>
              <w:rPr>
                <w:rFonts w:ascii="仿宋_GB2312" w:eastAsia="仿宋_GB2312" w:hAnsi="仿宋_GB2312" w:cs="仿宋_GB2312"/>
                <w:b/>
                <w:bCs/>
                <w:color w:val="000000"/>
                <w:kern w:val="2"/>
                <w:sz w:val="24"/>
                <w:szCs w:val="24"/>
              </w:rPr>
            </w:pPr>
            <w:r>
              <w:rPr>
                <w:rFonts w:ascii="仿宋_GB2312" w:eastAsia="仿宋_GB2312" w:hAnsi="仿宋_GB2312" w:cs="仿宋_GB2312" w:hint="eastAsia"/>
                <w:b/>
                <w:bCs/>
                <w:color w:val="000000"/>
                <w:sz w:val="24"/>
              </w:rPr>
              <w:t>课程名称</w:t>
            </w:r>
          </w:p>
        </w:tc>
        <w:tc>
          <w:tcPr>
            <w:tcW w:w="559" w:type="pct"/>
            <w:tcBorders>
              <w:top w:val="single" w:sz="4" w:space="0" w:color="000000"/>
              <w:left w:val="single" w:sz="4" w:space="0" w:color="000000"/>
              <w:bottom w:val="single" w:sz="4" w:space="0" w:color="auto"/>
              <w:right w:val="single" w:sz="4" w:space="0" w:color="000000"/>
            </w:tcBorders>
            <w:noWrap/>
            <w:vAlign w:val="center"/>
            <w:hideMark/>
          </w:tcPr>
          <w:p w:rsidR="00984F03" w:rsidRDefault="00984F03">
            <w:pPr>
              <w:jc w:val="center"/>
              <w:textAlignment w:val="center"/>
              <w:rPr>
                <w:rFonts w:ascii="仿宋_GB2312" w:eastAsia="仿宋_GB2312" w:hAnsi="仿宋_GB2312" w:cs="仿宋_GB2312"/>
                <w:b/>
                <w:bCs/>
                <w:color w:val="000000"/>
                <w:kern w:val="2"/>
                <w:sz w:val="24"/>
                <w:szCs w:val="24"/>
              </w:rPr>
            </w:pPr>
            <w:r>
              <w:rPr>
                <w:rFonts w:ascii="仿宋_GB2312" w:eastAsia="仿宋_GB2312" w:hAnsi="仿宋_GB2312" w:cs="仿宋_GB2312" w:hint="eastAsia"/>
                <w:b/>
                <w:bCs/>
                <w:color w:val="000000"/>
                <w:sz w:val="24"/>
              </w:rPr>
              <w:t>主讲人</w:t>
            </w:r>
          </w:p>
        </w:tc>
        <w:tc>
          <w:tcPr>
            <w:tcW w:w="2297" w:type="pct"/>
            <w:tcBorders>
              <w:top w:val="single" w:sz="4" w:space="0" w:color="000000"/>
              <w:left w:val="single" w:sz="4" w:space="0" w:color="000000"/>
              <w:bottom w:val="single" w:sz="4" w:space="0" w:color="auto"/>
              <w:right w:val="single" w:sz="4" w:space="0" w:color="000000"/>
            </w:tcBorders>
            <w:vAlign w:val="center"/>
            <w:hideMark/>
          </w:tcPr>
          <w:p w:rsidR="00984F03" w:rsidRDefault="00984F03">
            <w:pPr>
              <w:jc w:val="center"/>
              <w:textAlignment w:val="center"/>
              <w:rPr>
                <w:rFonts w:ascii="仿宋_GB2312" w:eastAsia="仿宋_GB2312" w:hAnsi="仿宋_GB2312" w:cs="仿宋_GB2312"/>
                <w:b/>
                <w:bCs/>
                <w:color w:val="000000"/>
                <w:kern w:val="2"/>
                <w:sz w:val="24"/>
                <w:szCs w:val="24"/>
              </w:rPr>
            </w:pPr>
            <w:r>
              <w:rPr>
                <w:rFonts w:ascii="仿宋_GB2312" w:eastAsia="仿宋_GB2312" w:hAnsi="仿宋_GB2312" w:cs="仿宋_GB2312" w:hint="eastAsia"/>
                <w:b/>
                <w:bCs/>
                <w:color w:val="000000"/>
                <w:sz w:val="24"/>
              </w:rPr>
              <w:t>单位与职务</w:t>
            </w:r>
          </w:p>
        </w:tc>
      </w:tr>
      <w:tr w:rsidR="00984F03" w:rsidTr="00984F03">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4F03" w:rsidRDefault="00984F03">
            <w:pPr>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rPr>
              <w:t>（一）道德修养与法律基础</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法律传统与文化自信</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李巍涛</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北京交通大学法学院院长、教授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完善以宪法为核心的中国特色社会主义法律体系</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李  勇</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中共中央党校（国家行政学院）教授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构建诚信社会的路径——诚信：公民道德的基石</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虞花荣</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中国政法大学马克思主义学院副教授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中国传统文化视域下的幸福观</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史怀刚</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暨南大学马克思主义学院副教授</w:t>
            </w:r>
          </w:p>
        </w:tc>
      </w:tr>
      <w:tr w:rsidR="00984F03" w:rsidTr="00984F03">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b/>
                <w:bCs/>
                <w:color w:val="000000"/>
                <w:sz w:val="24"/>
              </w:rPr>
              <w:t>（二）学习方法与创新能力</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学会学习——大学生学习指导</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屈林岩</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长沙学院党委副书记</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 xml:space="preserve">时间管理与学业规划 </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项淑芳</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浙江大学副教授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如何提升创新能力</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蔡本睿</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北京校企合作促进会常务副会长，正高研究员</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弘扬创新创业精神 提升创新创业能力</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朱  伟</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rPr>
              <w:t>西安电子科技大学空间科学与技术学院党委书记、创新创业学院副院长</w:t>
            </w:r>
          </w:p>
        </w:tc>
      </w:tr>
      <w:tr w:rsidR="00984F03" w:rsidTr="00984F03">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b/>
                <w:bCs/>
                <w:color w:val="000000"/>
                <w:sz w:val="24"/>
              </w:rPr>
              <w:t>（三）职业规划与就业指导</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高校毕业生就业创业形势分析</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岳昌君</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北京大学教授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职业生涯探索与就业准备</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刘海滨</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东北师范大学就业创业教育研究院执行院长</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大学生就业指导：求职心态调节和幸福促进</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庄明科</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北京大学学生心理咨询与服务中心副主任</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大学生就业指导：选择适合自己的职业</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蒋建荣</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南开大学副教授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lastRenderedPageBreak/>
              <w:t>大学生就业指导：戏.细看职场，从容出征——如何渡过职场</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谢  珊</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华南农业大学教育管理副研究员</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大学生的人际关系</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马  军</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南华大学核科学技术学院党委副书记、研究员</w:t>
            </w:r>
          </w:p>
        </w:tc>
      </w:tr>
      <w:tr w:rsidR="00984F03" w:rsidTr="00984F03">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4F03" w:rsidRDefault="00984F03">
            <w:pPr>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b/>
                <w:bCs/>
                <w:color w:val="000000"/>
                <w:sz w:val="24"/>
              </w:rPr>
              <w:t>（四）人际交往与沟通艺术</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大学生生命教育：构建积极健康的人际关系</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卢瑞霞</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曲阜师范大学政治与公共管理学院党委书记，副教授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大学生与异性交往的智慧决定恋爱婚姻家庭幸福</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薛  钟</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未来学校研究院礼仪教育中心主任</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大学生人际沟通——我好，你也好</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臧伟伟</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北京科技大学心理素质教育中心副主任，副教授</w:t>
            </w:r>
          </w:p>
        </w:tc>
      </w:tr>
      <w:tr w:rsidR="00984F03" w:rsidTr="00984F03">
        <w:trPr>
          <w:trHeight w:val="7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84F03" w:rsidRDefault="00984F03">
            <w:pPr>
              <w:jc w:val="center"/>
              <w:textAlignment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rPr>
              <w:t>（五）心理健康与压力管理</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大学生常见心理问题与自我调适</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郑爱明</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南京医科大学马克思主义副院长，教授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与压力共舞——情绪自理与心灵成长</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苑  媛</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中央财经大学社会与心理学院心理学系副教授</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压力与睡眠健康管理</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王  健</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中国中医科学院广安门医院心理科（睡眠科）主任</w:t>
            </w:r>
          </w:p>
        </w:tc>
      </w:tr>
      <w:tr w:rsidR="00984F03" w:rsidTr="00984F03">
        <w:trPr>
          <w:trHeight w:val="740"/>
        </w:trPr>
        <w:tc>
          <w:tcPr>
            <w:tcW w:w="2143"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如何科学管理情绪</w:t>
            </w:r>
          </w:p>
        </w:tc>
        <w:tc>
          <w:tcPr>
            <w:tcW w:w="559" w:type="pct"/>
            <w:tcBorders>
              <w:top w:val="single" w:sz="4" w:space="0" w:color="auto"/>
              <w:left w:val="single" w:sz="4" w:space="0" w:color="auto"/>
              <w:bottom w:val="single" w:sz="4" w:space="0" w:color="auto"/>
              <w:right w:val="single" w:sz="4" w:space="0" w:color="auto"/>
            </w:tcBorders>
            <w:vAlign w:val="center"/>
            <w:hideMark/>
          </w:tcPr>
          <w:p w:rsidR="00984F03" w:rsidRDefault="00984F03">
            <w:pPr>
              <w:jc w:val="cente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闫  芳</w:t>
            </w:r>
          </w:p>
        </w:tc>
        <w:tc>
          <w:tcPr>
            <w:tcW w:w="2297" w:type="pct"/>
            <w:tcBorders>
              <w:top w:val="single" w:sz="4" w:space="0" w:color="auto"/>
              <w:left w:val="single" w:sz="4" w:space="0" w:color="auto"/>
              <w:bottom w:val="single" w:sz="4" w:space="0" w:color="auto"/>
              <w:right w:val="single" w:sz="4" w:space="0" w:color="auto"/>
            </w:tcBorders>
            <w:vAlign w:val="center"/>
            <w:hideMark/>
          </w:tcPr>
          <w:p w:rsidR="00984F03" w:rsidRDefault="00984F03">
            <w:pPr>
              <w:textAlignment w:val="center"/>
              <w:rPr>
                <w:rFonts w:ascii="仿宋_GB2312" w:eastAsia="仿宋_GB2312" w:hAnsi="仿宋_GB2312" w:cs="仿宋_GB2312"/>
                <w:color w:val="000000"/>
                <w:kern w:val="2"/>
                <w:sz w:val="24"/>
                <w:szCs w:val="24"/>
              </w:rPr>
            </w:pPr>
            <w:r>
              <w:rPr>
                <w:rFonts w:ascii="仿宋_GB2312" w:eastAsia="仿宋_GB2312" w:hAnsi="仿宋_GB2312" w:cs="仿宋_GB2312" w:hint="eastAsia"/>
                <w:color w:val="000000"/>
                <w:sz w:val="24"/>
              </w:rPr>
              <w:t>首都医科大学附属北京安定医院国家精神心理疾病临床医学研究中心知名专家</w:t>
            </w:r>
          </w:p>
        </w:tc>
      </w:tr>
    </w:tbl>
    <w:p w:rsidR="00984F03" w:rsidRDefault="00984F03" w:rsidP="00984F03">
      <w:pPr>
        <w:pStyle w:val="00"/>
        <w:spacing w:line="360" w:lineRule="exact"/>
        <w:ind w:rightChars="-27" w:right="-59" w:firstLineChars="0" w:firstLine="0"/>
        <w:rPr>
          <w:rFonts w:ascii="楷体" w:eastAsia="楷体" w:hAnsi="楷体" w:cs="仿宋" w:hint="eastAsia"/>
          <w:color w:val="auto"/>
        </w:rPr>
      </w:pPr>
      <w:r>
        <w:rPr>
          <w:rFonts w:ascii="楷体" w:eastAsia="楷体" w:hAnsi="楷体" w:cs="仿宋" w:hint="eastAsia"/>
          <w:color w:val="auto"/>
        </w:rPr>
        <w:t>说明：</w:t>
      </w:r>
      <w:r>
        <w:rPr>
          <w:rFonts w:ascii="Times New Roman" w:eastAsia="楷体" w:hAnsi="Times New Roman"/>
          <w:color w:val="auto"/>
        </w:rPr>
        <w:t>1.</w:t>
      </w:r>
      <w:r>
        <w:rPr>
          <w:rFonts w:ascii="楷体" w:eastAsia="楷体" w:hAnsi="楷体" w:cs="仿宋" w:hint="eastAsia"/>
          <w:color w:val="auto"/>
        </w:rPr>
        <w:t>个别课程或稍有调整，请以平台最终发布课程为准；</w:t>
      </w:r>
    </w:p>
    <w:p w:rsidR="00984F03" w:rsidRDefault="00984F03" w:rsidP="00984F03">
      <w:pPr>
        <w:pStyle w:val="00"/>
        <w:spacing w:line="360" w:lineRule="exact"/>
        <w:ind w:rightChars="-27" w:right="-59" w:firstLineChars="300" w:firstLine="720"/>
        <w:rPr>
          <w:rFonts w:ascii="楷体" w:eastAsia="楷体" w:hAnsi="楷体" w:cs="仿宋" w:hint="eastAsia"/>
          <w:color w:val="auto"/>
        </w:rPr>
      </w:pPr>
      <w:r>
        <w:rPr>
          <w:rFonts w:ascii="Times New Roman" w:eastAsia="楷体" w:hAnsi="Times New Roman"/>
          <w:color w:val="auto"/>
        </w:rPr>
        <w:t>2.</w:t>
      </w:r>
      <w:r>
        <w:rPr>
          <w:rFonts w:ascii="楷体" w:eastAsia="楷体" w:hAnsi="楷体" w:cs="仿宋" w:hint="eastAsia"/>
          <w:color w:val="auto"/>
        </w:rPr>
        <w:t>课程主讲人职务为课程录制时的职务。</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魏碑_GBK"/>
    <w:charset w:val="86"/>
    <w:family w:val="script"/>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53E8E"/>
    <w:rsid w:val="00323B43"/>
    <w:rsid w:val="003D37D8"/>
    <w:rsid w:val="00426133"/>
    <w:rsid w:val="004358AB"/>
    <w:rsid w:val="008B7726"/>
    <w:rsid w:val="00984F03"/>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
    <w:name w:val="00正文"/>
    <w:basedOn w:val="a"/>
    <w:qFormat/>
    <w:rsid w:val="00984F03"/>
    <w:pPr>
      <w:widowControl w:val="0"/>
      <w:adjustRightInd/>
      <w:snapToGrid/>
      <w:spacing w:after="0" w:line="360" w:lineRule="auto"/>
      <w:ind w:firstLineChars="200" w:firstLine="480"/>
      <w:jc w:val="both"/>
    </w:pPr>
    <w:rPr>
      <w:rFonts w:ascii="仿宋_GB2312" w:eastAsia="仿宋_GB2312" w:hAnsi="宋体"/>
      <w:color w:val="000000"/>
      <w:kern w:val="2"/>
      <w:sz w:val="24"/>
      <w:szCs w:val="24"/>
    </w:rPr>
  </w:style>
</w:styles>
</file>

<file path=word/webSettings.xml><?xml version="1.0" encoding="utf-8"?>
<w:webSettings xmlns:r="http://schemas.openxmlformats.org/officeDocument/2006/relationships" xmlns:w="http://schemas.openxmlformats.org/wordprocessingml/2006/main">
  <w:divs>
    <w:div w:id="31072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2023-11-09T02:04:00Z</dcterms:modified>
</cp:coreProperties>
</file>